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line="240" w:lineRule="auto"/>
        <w:jc w:val="center"/>
        <w:rPr>
          <w:rFonts w:ascii="Calibri" w:cs="Calibri" w:eastAsia="Calibri" w:hAnsi="Calibri"/>
          <w:b w:val="1"/>
          <w:smallCaps w:val="1"/>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spacing w:after="240" w:before="240" w:lineRule="auto"/>
        <w:jc w:val="center"/>
        <w:rPr>
          <w:b w:val="1"/>
          <w:smallCaps w:val="1"/>
        </w:rPr>
      </w:pPr>
      <w:r w:rsidDel="00000000" w:rsidR="00000000" w:rsidRPr="00000000">
        <w:rPr>
          <w:b w:val="1"/>
          <w:smallCaps w:val="1"/>
          <w:rtl w:val="0"/>
        </w:rPr>
        <w:t xml:space="preserve">THE MINISTER FOR THE CABINET OFFICE ON BEHALF OF THE CROWN</w:t>
      </w:r>
    </w:p>
    <w:p w:rsidR="00000000" w:rsidDel="00000000" w:rsidP="00000000" w:rsidRDefault="00000000" w:rsidRPr="00000000" w14:paraId="00000003">
      <w:pPr>
        <w:spacing w:after="240" w:before="240" w:lineRule="auto"/>
        <w:jc w:val="center"/>
        <w:rPr>
          <w:b w:val="1"/>
          <w:smallCaps w:val="1"/>
        </w:rPr>
      </w:pPr>
      <w:r w:rsidDel="00000000" w:rsidR="00000000" w:rsidRPr="00000000">
        <w:rPr>
          <w:b w:val="1"/>
          <w:smallCaps w:val="1"/>
          <w:rtl w:val="0"/>
        </w:rPr>
        <w:t xml:space="preserve">REPRESENTED BY THE GOVERNMENT PROPERTY AGENCY</w:t>
      </w:r>
    </w:p>
    <w:p w:rsidR="00000000" w:rsidDel="00000000" w:rsidP="00000000" w:rsidRDefault="00000000" w:rsidRPr="00000000" w14:paraId="00000004">
      <w:pPr>
        <w:spacing w:after="240" w:before="240" w:lineRule="auto"/>
        <w:jc w:val="center"/>
        <w:rPr>
          <w:b w:val="1"/>
          <w:smallCaps w:val="1"/>
        </w:rPr>
      </w:pPr>
      <w:r w:rsidDel="00000000" w:rsidR="00000000" w:rsidRPr="00000000">
        <w:rPr>
          <w:b w:val="1"/>
          <w:smallCaps w:val="1"/>
          <w:rtl w:val="0"/>
        </w:rPr>
        <w:t xml:space="preserve">AND</w:t>
      </w:r>
    </w:p>
    <w:p w:rsidR="00000000" w:rsidDel="00000000" w:rsidP="00000000" w:rsidRDefault="00000000" w:rsidRPr="00000000" w14:paraId="00000005">
      <w:pPr>
        <w:spacing w:after="240" w:before="240" w:lineRule="auto"/>
        <w:jc w:val="center"/>
        <w:rPr>
          <w:b w:val="1"/>
          <w:smallCaps w:val="1"/>
        </w:rPr>
      </w:pPr>
      <w:r w:rsidDel="00000000" w:rsidR="00000000" w:rsidRPr="00000000">
        <w:rPr>
          <w:b w:val="1"/>
          <w:smallCaps w:val="1"/>
          <w:rtl w:val="0"/>
        </w:rPr>
        <w:t xml:space="preserve">ISS MEDICLEAN LIMITED</w:t>
      </w:r>
    </w:p>
    <w:p w:rsidR="00000000" w:rsidDel="00000000" w:rsidP="00000000" w:rsidRDefault="00000000" w:rsidRPr="00000000" w14:paraId="00000006">
      <w:pPr>
        <w:spacing w:after="240" w:before="240" w:lineRule="auto"/>
        <w:jc w:val="center"/>
        <w:rPr>
          <w:rFonts w:ascii="Calibri" w:cs="Calibri" w:eastAsia="Calibri" w:hAnsi="Calibri"/>
          <w:b w:val="1"/>
          <w:smallCaps w:val="1"/>
        </w:rPr>
      </w:pPr>
      <w:r w:rsidDel="00000000" w:rsidR="00000000" w:rsidRPr="00000000">
        <w:rPr>
          <w:rFonts w:ascii="Calibri" w:cs="Calibri" w:eastAsia="Calibri" w:hAnsi="Calibri"/>
          <w:b w:val="1"/>
          <w:smallCaps w:val="1"/>
          <w:rtl w:val="0"/>
        </w:rPr>
        <w:t xml:space="preserve">FACILITIES MANAGEMENT MARKETPLACE CONTRACT</w:t>
      </w:r>
    </w:p>
    <w:p w:rsidR="00000000" w:rsidDel="00000000" w:rsidP="00000000" w:rsidRDefault="00000000" w:rsidRPr="00000000" w14:paraId="00000007">
      <w:pPr>
        <w:spacing w:after="240" w:before="240" w:lineRule="auto"/>
        <w:jc w:val="center"/>
        <w:rPr>
          <w:rFonts w:ascii="Calibri" w:cs="Calibri" w:eastAsia="Calibri" w:hAnsi="Calibri"/>
          <w:b w:val="1"/>
          <w:smallCaps w:val="1"/>
        </w:rPr>
      </w:pPr>
      <w:r w:rsidDel="00000000" w:rsidR="00000000" w:rsidRPr="00000000">
        <w:rPr>
          <w:rFonts w:ascii="Calibri" w:cs="Calibri" w:eastAsia="Calibri" w:hAnsi="Calibri"/>
          <w:b w:val="1"/>
          <w:smallCaps w:val="1"/>
          <w:rtl w:val="0"/>
        </w:rPr>
        <w:t xml:space="preserve">REF: RM3830</w:t>
      </w:r>
    </w:p>
    <w:p w:rsidR="00000000" w:rsidDel="00000000" w:rsidP="00000000" w:rsidRDefault="00000000" w:rsidRPr="00000000" w14:paraId="00000008">
      <w:pPr>
        <w:spacing w:after="0" w:line="240" w:lineRule="auto"/>
        <w:jc w:val="both"/>
        <w:rPr>
          <w:rFonts w:ascii="Calibri" w:cs="Calibri" w:eastAsia="Calibri" w:hAnsi="Calibri"/>
          <w:b w:val="1"/>
          <w:sz w:val="20"/>
          <w:szCs w:val="20"/>
        </w:rPr>
      </w:pPr>
      <w:r w:rsidDel="00000000" w:rsidR="00000000" w:rsidRPr="00000000">
        <w:rPr>
          <w:rtl w:val="0"/>
        </w:rPr>
      </w:r>
    </w:p>
    <w:p w:rsidR="00000000" w:rsidDel="00000000" w:rsidP="00000000" w:rsidRDefault="00000000" w:rsidRPr="00000000" w14:paraId="00000009">
      <w:pPr>
        <w:spacing w:after="0" w:line="240" w:lineRule="auto"/>
        <w:jc w:val="both"/>
        <w:rPr>
          <w:rFonts w:ascii="Calibri" w:cs="Calibri" w:eastAsia="Calibri" w:hAnsi="Calibri"/>
          <w:b w:val="1"/>
          <w:sz w:val="20"/>
          <w:szCs w:val="20"/>
        </w:rPr>
      </w:pPr>
      <w:r w:rsidDel="00000000" w:rsidR="00000000" w:rsidRPr="00000000">
        <w:rPr>
          <w:rtl w:val="0"/>
        </w:rPr>
      </w:r>
    </w:p>
    <w:p w:rsidR="00000000" w:rsidDel="00000000" w:rsidP="00000000" w:rsidRDefault="00000000" w:rsidRPr="00000000" w14:paraId="0000000A">
      <w:pPr>
        <w:spacing w:after="240" w:line="240" w:lineRule="auto"/>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0B">
      <w:pPr>
        <w:spacing w:after="240" w:line="240" w:lineRule="auto"/>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0C">
      <w:pPr>
        <w:spacing w:after="240" w:line="240" w:lineRule="auto"/>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0D">
      <w:pPr>
        <w:rPr>
          <w:rFonts w:ascii="Calibri" w:cs="Calibri" w:eastAsia="Calibri" w:hAnsi="Calibri"/>
          <w:b w:val="1"/>
          <w:smallCaps w:val="1"/>
        </w:rPr>
      </w:pPr>
      <w:r w:rsidDel="00000000" w:rsidR="00000000" w:rsidRPr="00000000">
        <w:br w:type="page"/>
      </w:r>
      <w:r w:rsidDel="00000000" w:rsidR="00000000" w:rsidRPr="00000000">
        <w:rPr>
          <w:rtl w:val="0"/>
        </w:rPr>
      </w:r>
    </w:p>
    <w:p w:rsidR="00000000" w:rsidDel="00000000" w:rsidP="00000000" w:rsidRDefault="00000000" w:rsidRPr="00000000" w14:paraId="0000000E">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JOINT SCHEDULE 6 </w:t>
      </w:r>
    </w:p>
    <w:p w:rsidR="00000000" w:rsidDel="00000000" w:rsidP="00000000" w:rsidRDefault="00000000" w:rsidRPr="00000000" w14:paraId="0000000F">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center"/>
        <w:rPr>
          <w:rFonts w:ascii="Calibri" w:cs="Calibri" w:eastAsia="Calibri" w:hAnsi="Calibri"/>
          <w:b w:val="1"/>
          <w:i w:val="0"/>
          <w:smallCaps w:val="1"/>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key Subcontractors</w:t>
      </w:r>
    </w:p>
    <w:p w:rsidR="00000000" w:rsidDel="00000000" w:rsidP="00000000" w:rsidRDefault="00000000" w:rsidRPr="00000000" w14:paraId="0000001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KEY SUBCONTRACTORS </w:t>
      </w: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is entitled to sub-contract its obligations under the Framework Contract to the Key Subcontractors set out in the Framework Award Form. </w:t>
      </w: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both"/>
        <w:rPr/>
      </w:pPr>
      <w:bookmarkStart w:colFirst="0" w:colLast="0" w:name="_heading=h.30j0zll" w:id="1"/>
      <w:bookmarkEnd w:id="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is entitled to sub-contract its obligations under a Call-Off Contract to Key Subcontractors listed in the Framework Award Form who are specifically nominated in the Order Form.</w:t>
      </w: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during the Contract Period the Supplier wishes to enter into a new Key Sub-contract or replace a Key Subcontractor, it must obtain the prior written consent of CCS and the Buyer and the Supplier shall, at the time of requesting such consent, provide CCS and the Buyer with the information detailed in Paragraph 1.4.  The decision of CCS and the Buyer to consent or not will not be unreasonably withheld or delayed.  Where CCS consents to the appointment of a New Key Subcontractor then they will be added to section 18 of the Framework Award Form.  Where the Buyer consents to the appointment of a New Key Subcontractor then they will be added </w:t>
      </w:r>
      <w:r w:rsidDel="00000000" w:rsidR="00000000" w:rsidRPr="00000000">
        <w:rPr>
          <w:rtl w:val="0"/>
        </w:rPr>
        <w:t xml:space="preserve">to the Key</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Subcontractor section of the Order Form.  CCS and the Buyer may reasonably withhold their consent to the appointment of a Key Subcontractor if it considers that:</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0" w:right="0" w:hanging="85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appointment of a proposed Key Subcontractor may prejudice the provision of the Deliverables or may be contrary to its interests;</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0" w:right="0" w:hanging="85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proposed Key Subcontractor is unreliable and/or has not provided reliable goods and or reasonable services to its other Buyers; and/or</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50" w:right="0" w:hanging="85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proposed Key Subcontractor employs unfit persons.</w:t>
      </w:r>
      <w:r w:rsidDel="00000000" w:rsidR="00000000" w:rsidRPr="00000000">
        <w:rPr>
          <w:rtl w:val="0"/>
        </w:rPr>
      </w:r>
    </w:p>
    <w:p w:rsidR="00000000" w:rsidDel="00000000" w:rsidP="00000000" w:rsidRDefault="00000000" w:rsidRPr="00000000" w14:paraId="00000017">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both"/>
        <w:rPr/>
      </w:pPr>
      <w:bookmarkStart w:colFirst="0" w:colLast="0" w:name="_heading=h.1fob9te" w:id="2"/>
      <w:bookmarkEnd w:id="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provide CCS and the Buyer with the following information in respect of the proposed Key Subcontractor:</w:t>
      </w: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proposed Key Subcontractor’s name, registered office and company registration number;</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scope/description of any Deliverables to be provided by the proposed Key Subcontractor; </w:t>
      </w: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the proposed Key Subcontractor is an Affiliate of the Supplier, evidence that demonstrates to the reasonable satisfaction of the CCS and the Buyer that the proposed Key Sub-Contract has been agreed on "arm’s-length" terms;</w:t>
      </w: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for CCS, the Key Sub-Contract price expressed as a percentage of the total projected Framework Price over the Framework Contract Period; </w:t>
      </w:r>
      <w:r w:rsidDel="00000000" w:rsidR="00000000" w:rsidRPr="00000000">
        <w:rPr>
          <w:rtl w:val="0"/>
        </w:rPr>
      </w:r>
    </w:p>
    <w:p w:rsidR="00000000" w:rsidDel="00000000" w:rsidP="00000000" w:rsidRDefault="00000000" w:rsidRPr="00000000" w14:paraId="0000001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for the Buyer, the Key Sub-Contract price expressed as a percentage of the total projected Charges over the Call Off Contract Period; and</w:t>
      </w: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applicable) Credit Rating Threshold (as defined in Joint Schedule 7 (Financial Distress)) of the Key Subcontractor.</w:t>
      </w:r>
      <w:r w:rsidDel="00000000" w:rsidR="00000000" w:rsidRPr="00000000">
        <w:rPr>
          <w:rtl w:val="0"/>
        </w:rPr>
      </w:r>
    </w:p>
    <w:p w:rsidR="00000000" w:rsidDel="00000000" w:rsidP="00000000" w:rsidRDefault="00000000" w:rsidRPr="00000000" w14:paraId="0000001E">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both"/>
        <w:rPr/>
      </w:pPr>
      <w:bookmarkStart w:colFirst="0" w:colLast="0" w:name="_heading=h.3znysh7" w:id="3"/>
      <w:bookmarkEnd w:id="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requested by CCS and/or the Buyer, within ten (10) Working Days of receipt of the information provided by the Supplier pursuant to Paragraph 1.4, the Supplier shall also provide:</w:t>
      </w: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copy of the proposed Key Sub-Contract; and </w:t>
      </w: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further information reasonably requested by CCS and/or the Buyer.</w:t>
      </w:r>
      <w:r w:rsidDel="00000000" w:rsidR="00000000" w:rsidRPr="00000000">
        <w:rPr>
          <w:rtl w:val="0"/>
        </w:rPr>
      </w:r>
    </w:p>
    <w:p w:rsidR="00000000" w:rsidDel="00000000" w:rsidP="00000000" w:rsidRDefault="00000000" w:rsidRPr="00000000" w14:paraId="00000021">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00" w:right="0" w:hanging="540"/>
        <w:jc w:val="both"/>
        <w:rPr/>
      </w:pPr>
      <w:bookmarkStart w:colFirst="0" w:colLast="0" w:name="_heading=h.2et92p0" w:id="4"/>
      <w:bookmarkEnd w:id="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ensure that each new or replacement Key Sub-Contract shall include: </w:t>
      </w:r>
      <w:r w:rsidDel="00000000" w:rsidR="00000000" w:rsidRPr="00000000">
        <w:rPr>
          <w:rtl w:val="0"/>
        </w:rPr>
      </w:r>
    </w:p>
    <w:p w:rsidR="00000000" w:rsidDel="00000000" w:rsidP="00000000" w:rsidRDefault="00000000" w:rsidRPr="00000000" w14:paraId="0000002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provisions which will enable the Supplier to discharge its obligations under the Contracts;</w:t>
      </w:r>
      <w:r w:rsidDel="00000000" w:rsidR="00000000" w:rsidRPr="00000000">
        <w:rPr>
          <w:rtl w:val="0"/>
        </w:rPr>
      </w:r>
    </w:p>
    <w:p w:rsidR="00000000" w:rsidDel="00000000" w:rsidP="00000000" w:rsidRDefault="00000000" w:rsidRPr="00000000" w14:paraId="0000002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right under CRTPA for CCS and the Buyer to enforce any provisions under the Key Sub-Contract which confer a benefit upon CCS and the Buyer respectively;</w:t>
      </w:r>
      <w:r w:rsidDel="00000000" w:rsidR="00000000" w:rsidRPr="00000000">
        <w:rPr>
          <w:rtl w:val="0"/>
        </w:rPr>
      </w:r>
    </w:p>
    <w:p w:rsidR="00000000" w:rsidDel="00000000" w:rsidP="00000000" w:rsidRDefault="00000000" w:rsidRPr="00000000" w14:paraId="0000002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provision enabling CCS and the Buyer to enforce the Key Sub-Contract as if it were the Supplier; </w:t>
      </w:r>
      <w:r w:rsidDel="00000000" w:rsidR="00000000" w:rsidRPr="00000000">
        <w:rPr>
          <w:rtl w:val="0"/>
        </w:rPr>
      </w:r>
    </w:p>
    <w:p w:rsidR="00000000" w:rsidDel="00000000" w:rsidP="00000000" w:rsidRDefault="00000000" w:rsidRPr="00000000" w14:paraId="0000002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provision enabling the Supplier to assign, novate or otherwise transfer any of its rights and/or obligations under the Key Sub-Contract to CCS and/or the Buyer; </w:t>
      </w: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710" w:right="0" w:hanging="81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obligations no less onerous on the Key Subcontractor than those imposed on the Supplier under the Framework Contract in respect of:</w:t>
      </w:r>
      <w:r w:rsidDel="00000000" w:rsidR="00000000" w:rsidRPr="00000000">
        <w:rPr>
          <w:rtl w:val="0"/>
        </w:rPr>
      </w:r>
    </w:p>
    <w:p w:rsidR="00000000" w:rsidDel="00000000" w:rsidP="00000000" w:rsidRDefault="00000000" w:rsidRPr="00000000" w14:paraId="0000002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63" w:right="0" w:hanging="853.0000000000001"/>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data protection requirements set out in Core Terms Clause 14(Data protection);</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63" w:right="0" w:hanging="853.0000000000001"/>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FOIA and other access request requirements set out in Core Terms Clause 16 (When you can share information);</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63" w:right="0" w:hanging="853.0000000000001"/>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obligation not to embarrass CCS or the Buyer or otherwise bring CCS or the Buyer into disrepute; </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63" w:right="0" w:hanging="853.0000000000001"/>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keeping of records in respect of the goods and/or services being provided under the Key Sub-Contract, including the maintenance of Open Book Data; and</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2552"/>
        </w:tabs>
        <w:spacing w:after="120" w:before="120" w:line="240" w:lineRule="auto"/>
        <w:ind w:left="2563" w:right="0" w:hanging="853.0000000000001"/>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conduct of audits set out in Core Terms Clause 6 (Record keeping and reporting);</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provisions enabling the Supplier to terminate the Key Sub-Contract on notice on terms no more onerous on the Supplier than those imposed on CCS and the Buyer under Core Terms Clause 10.4 (When CCS or the Buyer can end this contract) and 10.5 (What happens if the contract ends) of this Contract; and</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provision restricting the ability of the Key Subcontractor to sub-contract all or any part of the provision of the Deliverables provided to the Supplier under the Key Sub-Contract without first seeking the written consent of CCS and the Buyer. </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138"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4">
    <w:pPr>
      <w:tabs>
        <w:tab w:val="center" w:leader="none" w:pos="4513"/>
        <w:tab w:val="right" w:leader="none" w:pos="9026"/>
      </w:tabs>
      <w:spacing w:after="0" w:line="240" w:lineRule="auto"/>
      <w:jc w:val="both"/>
      <w:rPr/>
    </w:pPr>
    <w:r w:rsidDel="00000000" w:rsidR="00000000" w:rsidRPr="00000000">
      <w:rPr>
        <w:rtl w:val="0"/>
      </w:rPr>
      <w:t xml:space="preserve">Ref: RM3830 </w:t>
    </w:r>
  </w:p>
  <w:p w:rsidR="00000000" w:rsidDel="00000000" w:rsidP="00000000" w:rsidRDefault="00000000" w:rsidRPr="00000000" w14:paraId="00000035">
    <w:pPr>
      <w:spacing w:after="0" w:line="240" w:lineRule="auto"/>
      <w:jc w:val="both"/>
      <w:rPr/>
    </w:pPr>
    <w:r w:rsidDel="00000000" w:rsidR="00000000" w:rsidRPr="00000000">
      <w:rPr>
        <w:rtl w:val="0"/>
      </w:rPr>
      <w:t xml:space="preserve">Model Version</w:t>
    </w:r>
    <w:bookmarkStart w:colFirst="0" w:colLast="0" w:name="bookmark=id.tyjcwt" w:id="5"/>
    <w:bookmarkEnd w:id="5"/>
    <w:r w:rsidDel="00000000" w:rsidR="00000000" w:rsidRPr="00000000">
      <w:rPr>
        <w:rtl w:val="0"/>
      </w:rPr>
      <w:t xml:space="preserve"> v3.0 Project Version v1.0</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0">
    <w:pPr>
      <w:spacing w:after="0" w:lineRule="auto"/>
      <w:rPr>
        <w:b w:val="1"/>
      </w:rPr>
    </w:pPr>
    <w:r w:rsidDel="00000000" w:rsidR="00000000" w:rsidRPr="00000000">
      <w:rPr>
        <w:b w:val="1"/>
        <w:rtl w:val="0"/>
      </w:rPr>
      <w:t xml:space="preserve">Customer Support &amp; Community (Provision of Soft FM Services) South</w:t>
    </w:r>
    <w:r w:rsidDel="00000000" w:rsidR="00000000" w:rsidRPr="00000000">
      <w:drawing>
        <wp:anchor allowOverlap="1" behindDoc="0" distB="0" distT="0" distL="114300" distR="114300" hidden="0" layoutInCell="1" locked="0" relativeHeight="0" simplePos="0">
          <wp:simplePos x="0" y="0"/>
          <wp:positionH relativeFrom="column">
            <wp:posOffset>5810250</wp:posOffset>
          </wp:positionH>
          <wp:positionV relativeFrom="paragraph">
            <wp:posOffset>-180972</wp:posOffset>
          </wp:positionV>
          <wp:extent cx="749300" cy="558800"/>
          <wp:effectExtent b="0" l="0" r="0" t="0"/>
          <wp:wrapSquare wrapText="bothSides" distB="0" distT="0" distL="114300" distR="114300"/>
          <wp:docPr id="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49300" cy="558800"/>
                  </a:xfrm>
                  <a:prstGeom prst="rect"/>
                  <a:ln/>
                </pic:spPr>
              </pic:pic>
            </a:graphicData>
          </a:graphic>
        </wp:anchor>
      </w:drawing>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Joint Schedule 6 (Key Subcontractors)</w:t>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Crown Copyright 202</w:t>
    </w:r>
    <w:r w:rsidDel="00000000" w:rsidR="00000000" w:rsidRPr="00000000">
      <w:rPr>
        <w:rtl w:val="0"/>
      </w:rPr>
      <w:t xml:space="preserve">2</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9.9999999999998"/>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3Guidance" w:customStyle="1">
    <w:name w:val="GPS L3 Guidance"/>
    <w:basedOn w:val="Normal"/>
    <w:link w:val="GPSL3GuidanceChar"/>
    <w:qFormat w:val="1"/>
    <w:pPr>
      <w:tabs>
        <w:tab w:val="left" w:pos="1985"/>
      </w:tabs>
      <w:adjustRightInd w:val="0"/>
      <w:spacing w:after="120" w:before="120" w:line="240" w:lineRule="auto"/>
      <w:ind w:left="1985"/>
      <w:jc w:val="both"/>
    </w:pPr>
    <w:rPr>
      <w:rFonts w:ascii="Calibri" w:cs="Arial" w:eastAsia="Times New Roman" w:hAnsi="Calibri"/>
      <w:b w:val="1"/>
      <w:i w:val="1"/>
      <w:lang w:eastAsia="zh-CN"/>
    </w:rPr>
  </w:style>
  <w:style w:type="paragraph" w:styleId="GPSL1Schedulenumbered" w:customStyle="1">
    <w:name w:val="GPS L1 Schedule numbered"/>
    <w:basedOn w:val="Normal"/>
    <w:link w:val="GPSL1SchedulenumberedChar1"/>
    <w:qFormat w:val="1"/>
    <w:pPr>
      <w:numPr>
        <w:numId w:val="1"/>
      </w:numPr>
      <w:tabs>
        <w:tab w:val="left" w:pos="851"/>
      </w:tabs>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GPSL1SchedulenumberedChar1" w:customStyle="1">
    <w:name w:val="GPS L1 Schedule numbered Char1"/>
    <w:link w:val="GPSL1Schedulenumbered"/>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3GuidanceChar" w:customStyle="1">
    <w:name w:val="GPS L3 Guidance Char"/>
    <w:link w:val="GPSL3Guidance"/>
    <w:rPr>
      <w:rFonts w:ascii="Calibri" w:cs="Arial" w:eastAsia="Times New Roman" w:hAnsi="Calibri"/>
      <w:b w:val="1"/>
      <w:i w:val="1"/>
      <w:lang w:eastAsia="zh-CN"/>
    </w:rPr>
  </w:style>
  <w:style w:type="paragraph" w:styleId="GPSL1CLAUSEHEADING" w:customStyle="1">
    <w:name w:val="GPS L1 CLAUSE HEADING"/>
    <w:basedOn w:val="Normal"/>
    <w:next w:val="Normal"/>
    <w:qFormat w:val="1"/>
    <w:pPr>
      <w:numPr>
        <w:numId w:val="3"/>
      </w:numPr>
      <w:tabs>
        <w:tab w:val="left" w:pos="142"/>
      </w:tabs>
      <w:adjustRightInd w:val="0"/>
      <w:spacing w:after="240" w:before="120" w:line="240" w:lineRule="auto"/>
      <w:jc w:val="both"/>
      <w:outlineLvl w:val="1"/>
    </w:pPr>
    <w:rPr>
      <w:rFonts w:ascii="Calibri" w:cs="Arial" w:eastAsia="STZhongsong" w:hAnsi="Calibri"/>
      <w:b w:val="1"/>
      <w:caps w:val="1"/>
      <w:lang w:eastAsia="zh-CN"/>
    </w:rPr>
  </w:style>
  <w:style w:type="paragraph" w:styleId="GPSL3numberedclause" w:customStyle="1">
    <w:name w:val="GPS L3 numbered clause"/>
    <w:basedOn w:val="Normal"/>
    <w:link w:val="GPSL3numberedclauseChar"/>
    <w:qFormat w:val="1"/>
    <w:pPr>
      <w:numPr>
        <w:ilvl w:val="2"/>
        <w:numId w:val="3"/>
      </w:numPr>
      <w:tabs>
        <w:tab w:val="left" w:pos="1985"/>
      </w:tabs>
      <w:adjustRightInd w:val="0"/>
      <w:spacing w:after="120" w:before="120" w:line="240" w:lineRule="auto"/>
      <w:jc w:val="both"/>
    </w:pPr>
    <w:rPr>
      <w:rFonts w:ascii="Calibri" w:cs="Arial" w:eastAsia="Times New Roman" w:hAnsi="Calibri"/>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pPr>
  </w:style>
  <w:style w:type="paragraph" w:styleId="GPSL2NumberedBoldHeading" w:customStyle="1">
    <w:name w:val="GPS L2 Numbered Bold Heading"/>
    <w:basedOn w:val="Normal"/>
    <w:link w:val="GPSL2NumberedBoldHeadingChar"/>
    <w:qFormat w:val="1"/>
    <w:pPr>
      <w:numPr>
        <w:ilvl w:val="1"/>
        <w:numId w:val="3"/>
      </w:numPr>
      <w:adjustRightInd w:val="0"/>
      <w:spacing w:after="120" w:before="120" w:line="240" w:lineRule="auto"/>
      <w:ind w:left="936" w:hanging="576"/>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legds2" w:customStyle="1">
    <w:name w:val="legds2"/>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numberedclause" w:customStyle="1">
    <w:name w:val="GPS L2 numbered clause"/>
    <w:basedOn w:val="Normal"/>
    <w:qFormat w:val="1"/>
    <w:pPr>
      <w:tabs>
        <w:tab w:val="left" w:pos="1134"/>
      </w:tabs>
      <w:adjustRightInd w:val="0"/>
      <w:spacing w:after="120" w:before="120" w:line="240" w:lineRule="auto"/>
      <w:ind w:left="1134" w:hanging="567"/>
      <w:jc w:val="both"/>
    </w:pPr>
    <w:rPr>
      <w:rFonts w:ascii="Calibri" w:cs="Arial" w:eastAsia="Times New Roman" w:hAnsi="Calibri"/>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1" w:customStyle="1">
    <w:name w:val="Table Grid1"/>
    <w:basedOn w:val="TableNormal"/>
    <w:next w:val="TableGrid"/>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hCkY674fEDVubr8YAGOZC9diC/g==">CgMxLjAyCGguZ2pkZ3hzMgloLjMwajB6bGwyCWguMWZvYjl0ZTIJaC4zem55c2g3MgloLjJldDkycDAyCWlkLnR5amN3dDgAciExb3RMQ2pCNnM4RU1ucUdjVHl3N2FOSk9HRmFUZHJuRy0=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2021-02-15T14:17:00Z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